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                                                                                                         УТВЕРЖДАЮ: </w:t>
      </w:r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Заведующий МДОБУ № 1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4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«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Улыбка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»</w:t>
      </w:r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                                                                                            ____________________</w:t>
      </w:r>
      <w:proofErr w:type="spellStart"/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Н.И.Гарник</w:t>
      </w:r>
      <w:proofErr w:type="spellEnd"/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                                                                «01» сентября 2015г.</w:t>
      </w:r>
    </w:p>
    <w:p w:rsidR="008B08B9" w:rsidRPr="008B08B9" w:rsidRDefault="008B08B9" w:rsidP="000941EE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Положение</w:t>
      </w:r>
    </w:p>
    <w:p w:rsidR="008B08B9" w:rsidRPr="008B08B9" w:rsidRDefault="008B08B9" w:rsidP="000941E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о порядке учета и расходования</w:t>
      </w:r>
    </w:p>
    <w:p w:rsidR="008B08B9" w:rsidRPr="008B08B9" w:rsidRDefault="008B08B9" w:rsidP="000941E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добровольных целевых взносов и пожертвований</w:t>
      </w:r>
    </w:p>
    <w:p w:rsidR="008B08B9" w:rsidRPr="008B08B9" w:rsidRDefault="008B08B9" w:rsidP="000941E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физических и (или) юридических лиц</w:t>
      </w:r>
    </w:p>
    <w:p w:rsidR="008B08B9" w:rsidRPr="008B08B9" w:rsidRDefault="008B08B9" w:rsidP="000941E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муниципального дошкольного образовательного бюджетно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го учреждения детского сада  № 14</w:t>
      </w: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«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Улыбка</w:t>
      </w: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»</w:t>
      </w:r>
    </w:p>
    <w:p w:rsidR="008B08B9" w:rsidRPr="008B08B9" w:rsidRDefault="00662627" w:rsidP="000941E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ст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.Б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есскорбной</w:t>
      </w:r>
      <w:proofErr w:type="spellEnd"/>
      <w:r w:rsidR="008B08B9"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муниципального образования </w:t>
      </w:r>
      <w:proofErr w:type="spellStart"/>
      <w:r w:rsidR="008B08B9"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Новокубанский</w:t>
      </w:r>
      <w:proofErr w:type="spellEnd"/>
      <w:r w:rsidR="008B08B9"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район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Настоящее Положение разработано в соответствии с Гражданским кодексом РФ, Федеральным Законом РФ от 29.12.2012 № 273-ФЗ "Об образовании в Российской Федерации" и Федеральным законом РФ от 11.08.1995 N 135-ФЗ "О благотворительной деятельности и благотворительных организациях", письмом Минобразования РФ от 15.12.1998 № 57 «О внебюджетных средствах образовательных учреждений».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Настоящее Положение регулирует порядок учета и расходования добровольных целевых взносов и пожертвований физических и (или) юридических лиц, в том числе родителей (законных представителей) детей,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муниципальным дошкольным образовательным бюджетным  учреждением детским  садом № 1</w:t>
      </w:r>
      <w:r w:rsidR="00662627">
        <w:rPr>
          <w:rFonts w:ascii="Tahoma" w:eastAsia="Times New Roman" w:hAnsi="Tahoma" w:cs="Tahoma"/>
          <w:i/>
          <w:iCs/>
          <w:color w:val="000000"/>
          <w:sz w:val="20"/>
        </w:rPr>
        <w:t xml:space="preserve">4 </w:t>
      </w: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«</w:t>
      </w:r>
      <w:r w:rsidR="00662627">
        <w:rPr>
          <w:rFonts w:ascii="Tahoma" w:eastAsia="Times New Roman" w:hAnsi="Tahoma" w:cs="Tahoma"/>
          <w:i/>
          <w:iCs/>
          <w:color w:val="000000"/>
          <w:sz w:val="20"/>
        </w:rPr>
        <w:t>Улыбка</w:t>
      </w: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»</w:t>
      </w:r>
      <w:r>
        <w:rPr>
          <w:rFonts w:ascii="Tahoma" w:eastAsia="Times New Roman" w:hAnsi="Tahoma" w:cs="Tahoma"/>
          <w:i/>
          <w:iCs/>
          <w:color w:val="000000"/>
          <w:sz w:val="20"/>
        </w:rPr>
        <w:t xml:space="preserve"> </w:t>
      </w: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с</w:t>
      </w:r>
      <w:r w:rsidR="00662627">
        <w:rPr>
          <w:rFonts w:ascii="Tahoma" w:eastAsia="Times New Roman" w:hAnsi="Tahoma" w:cs="Tahoma"/>
          <w:i/>
          <w:iCs/>
          <w:color w:val="000000"/>
          <w:sz w:val="20"/>
        </w:rPr>
        <w:t>т</w:t>
      </w: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 xml:space="preserve">. </w:t>
      </w:r>
      <w:r w:rsidR="00662627">
        <w:rPr>
          <w:rFonts w:ascii="Tahoma" w:eastAsia="Times New Roman" w:hAnsi="Tahoma" w:cs="Tahoma"/>
          <w:i/>
          <w:iCs/>
          <w:color w:val="000000"/>
          <w:sz w:val="20"/>
        </w:rPr>
        <w:t>Бесскорбной</w:t>
      </w: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 xml:space="preserve"> муниципального образования </w:t>
      </w:r>
      <w:proofErr w:type="spellStart"/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Новокубанский</w:t>
      </w:r>
      <w:proofErr w:type="spellEnd"/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 xml:space="preserve"> район 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(далее по тексту — Учреждение).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1.Общие положения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1.1. Деятельность Учреждения финансируется Учредителем в соответствии с договором, заключенным между ними. Нормативы финансирования Учреждения определяются в соответствии федеральных нормативов и нормативов Краснодарского края. Нормативы финансирования Учреждения в размере, необходимом для реализации основных образовательных программ в части финансирования расходов на оплату труда работников Учреждения, расходов на  учебные пособия, технические средства обучения, расходные материалы и хозяйственные нужды, устанавливаются органами государственной власти Краснодарского края.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1.2. Учреждение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1.3. Привлечение целевых взносов может иметь своей целью приобретение необходимого Учреждению имущества, укрепление и развитие материально-технической базы Учреждения, охрану жизни и здоровья обучающихся, обеспечение безопасности обучающихся в период образовательного процесса,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1.4. Привлечение Учреждением указанных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1.5. Привлечение Учреждением средств является правом, а не обязанностью Учреждения.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1.6. Основным принципом привлечения дополнительных средств Учреждением является добровольность их  внесения - целевые взносы и пожертвования могут привлекаться Учреждением только на добровольной   основе.</w:t>
      </w: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2. Основные понятия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2.1. Законные представители - родители, усыновители, опекуны, попечители обучающихся детей.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2.2.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2.3.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 Пожертвование может также выражаться в добровольном безвозмездном личном труде родителей (законных представителей) детей по ремонту помещений Учреждения, оказании помощи в проведении мероприятий и т.д.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2.4. 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2.5.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3.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Условия привлечения целевых взносов и пожертвований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3.1. </w:t>
      </w:r>
      <w:proofErr w:type="gram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>Администрация Учреждения в лице уполномоченных работников (заведующего, его заместителей, педагогических работников и других)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color w:val="000000"/>
          <w:sz w:val="20"/>
          <w:szCs w:val="20"/>
          <w:u w:val="single"/>
        </w:rPr>
        <w:t>вправе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обратиться за привлечением денежных средств для Учреждения как в устной (на родительском собрании, в частной беседе), так и в письменной (в виде объявления, письма) форме.</w:t>
      </w:r>
      <w:proofErr w:type="gramEnd"/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В случае такого обращения Учреждение обязано проинформировать  о целях привлечения средств (осуществление текущего ремонта, укрепление материальной базы, проведение мероприятий и т.д.).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3.2. Решение о внесении целевых взносов и пожертвований в Учреждение со стороны физических и юридических лиц принимается ими самостоятельно с указанием цели реализации средств.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3.3. Внебюджетные средства поступают на лицевые счета по учету внебюджетных средств Учреждения, открытые согласно Договору на открытие лицевого счета. Финансовый орган муниципального образования </w:t>
      </w:r>
      <w:proofErr w:type="spell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>Новокубанский</w:t>
      </w:r>
      <w:proofErr w:type="spellEnd"/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район осуществляет финансовый </w:t>
      </w:r>
      <w:proofErr w:type="gram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внебюджетной деятельностью Учреждения. Внебюджетные средства (родительская плата, добровольные пожертвования, целевые взносы) поступают в денежной форме на расчётные счета Учреждения.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3.4. Руководитель Учреждения организует и осуществляет контроль за ведением бухгалтерского учета привлеченных сре</w:t>
      </w:r>
      <w:proofErr w:type="gram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>дств в с</w:t>
      </w:r>
      <w:proofErr w:type="gramEnd"/>
      <w:r w:rsidRPr="008B08B9">
        <w:rPr>
          <w:rFonts w:ascii="Tahoma" w:eastAsia="Times New Roman" w:hAnsi="Tahoma" w:cs="Tahoma"/>
          <w:color w:val="000000"/>
          <w:sz w:val="20"/>
          <w:szCs w:val="20"/>
        </w:rPr>
        <w:t>оответствии с Инструкцией по бюджетному учету.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3.5. Иное имущество, переданное Учреждению, оформляется в обязательном порядке актом приема-передачи и ставится на баланс Учреждения в соответствии с действующим законодательством РФ.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3.6. Запрещается отказывать гражданам в приеме детей в Учреждение или исключать из него из-за невозможности или нежелания законных представителей осуществлять целевые взносы и пожертвования. Отказ не может сопровождаться какими-либо последствиями для обучающихся (детей) и иных лиц.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3.7. Запрещается каким-либо образом вовлекать обучающихся (детей) в финансовые отношения между их законными представителями и Учреждением.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lastRenderedPageBreak/>
        <w:t>4.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Порядок оформления целевых взносов и пожертвований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4.1. Добровольный целевой взнос оформляется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заявлением 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(Приложение 2 к настоящему Положению) физических лиц с указанием размера денежной суммы и конкретной цели использования этой суммы.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4.2. Добровольные пожертвования оформляются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договором пожертвования 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(Приложение 1 к настоящему Положению).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Денежные средства поступают на счёт Учреждения.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4.3. Все операции, производимые Учреждением, оформляются первичными документами согласно Инструкции по бухгалтерскому учету.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5. Порядок расходования целевых взносов и пожертвований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5.1. </w:t>
      </w:r>
      <w:proofErr w:type="gram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>Расходование средств, принятых Учреждением, производится только в соответствии с их целевым назначением, если благотворителем не определены конкретные цели использования средств, пути направления благотворительного взноса определяются руководителем Учреждения совместно с педагогическим коллективом в соответствии с потребностями, связанными исключительно с уставной деятельностью Учреждения, а так же в соответствии с п.1.5. настоящего Положения.</w:t>
      </w:r>
      <w:proofErr w:type="gramEnd"/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5.2. Использование указанных средств осуществляется путём оформления платежных документов (актов выполненных работ (оказанных услуг), счетов, счетов-фактур и проч.)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5.3. Администрацией Учреждения ежегодно </w:t>
      </w:r>
      <w:proofErr w:type="gram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>предоставляется публичный отчет</w:t>
      </w:r>
      <w:proofErr w:type="gramEnd"/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о привлечении и расходовании дополнительных финансовых средств на сайте Учреждения  и других информационных ресурсах,  на общем  родительском собрании.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6. Ответственность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6.1. Ответственность за целевое использование целевых взносов и пожертвований несет руководитель Учреждения.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6.2. Не допускается использование целевых взносов и пожертвований физических и (или) юридических лиц Учреждением на цели, не соответствующие уставной деятельности Учреждения и не в соответствии с назначением (целью) лица, сделавшего целевой взнос или совершившего пожертвование.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6.3. В случае нарушения Учреждением порядка учета и расходования добровольных  целевых взносов и пожертвований руководитель Учреждения несёт ответственность в установленном законом порядке.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lastRenderedPageBreak/>
        <w:t xml:space="preserve">                                                                                                          УТВЕРЖДАЮ: </w:t>
      </w:r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Заведующий МДОБУ № 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14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«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Улыбка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»</w:t>
      </w:r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                                                                                            ____________________</w:t>
      </w:r>
      <w:proofErr w:type="spellStart"/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Н.И.Гарник</w:t>
      </w:r>
      <w:proofErr w:type="spellEnd"/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                                                                «01» сентября 2015г.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Приложение 1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к Положению о порядке учета и расходования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 добровольных целевых взносов и пожертвований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физических и (или) юридических лиц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ДОГОВОР  ПОЖЕРТВОВАНИЯ</w:t>
      </w:r>
    </w:p>
    <w:p w:rsidR="008B08B9" w:rsidRPr="008B08B9" w:rsidRDefault="008B08B9" w:rsidP="00194FE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«___»________20__ г                                                        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 (фамилия</w:t>
      </w:r>
      <w:proofErr w:type="gram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End"/>
      <w:r w:rsidRPr="008B08B9">
        <w:rPr>
          <w:rFonts w:ascii="Tahoma" w:eastAsia="Times New Roman" w:hAnsi="Tahoma" w:cs="Tahoma"/>
          <w:color w:val="000000"/>
          <w:sz w:val="20"/>
          <w:szCs w:val="20"/>
        </w:rPr>
        <w:t>имя, отчество)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именуемый в дальнейшем «</w:t>
      </w: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Жертвователь», 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с одной стороны, и МДОБУ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№ 1</w:t>
      </w:r>
      <w:r w:rsidR="00662627">
        <w:rPr>
          <w:rFonts w:ascii="Tahoma" w:eastAsia="Times New Roman" w:hAnsi="Tahoma" w:cs="Tahoma"/>
          <w:color w:val="000000"/>
          <w:sz w:val="20"/>
          <w:szCs w:val="20"/>
        </w:rPr>
        <w:t>4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, именуемое в дальнейшем «</w:t>
      </w: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Учреждение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», в лице заведующего МДОБУ № 1</w:t>
      </w:r>
      <w:r w:rsidR="00662627">
        <w:rPr>
          <w:rFonts w:ascii="Tahoma" w:eastAsia="Times New Roman" w:hAnsi="Tahoma" w:cs="Tahoma"/>
          <w:color w:val="000000"/>
          <w:sz w:val="20"/>
          <w:szCs w:val="20"/>
        </w:rPr>
        <w:t>4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662627">
        <w:rPr>
          <w:rFonts w:ascii="Tahoma" w:eastAsia="Times New Roman" w:hAnsi="Tahoma" w:cs="Tahoma"/>
          <w:color w:val="000000"/>
          <w:sz w:val="20"/>
          <w:szCs w:val="20"/>
        </w:rPr>
        <w:t>Гарник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62627">
        <w:rPr>
          <w:rFonts w:ascii="Tahoma" w:eastAsia="Times New Roman" w:hAnsi="Tahoma" w:cs="Tahoma"/>
          <w:color w:val="000000"/>
          <w:sz w:val="20"/>
          <w:szCs w:val="20"/>
        </w:rPr>
        <w:t>Нины Игоре</w:t>
      </w:r>
      <w:r>
        <w:rPr>
          <w:rFonts w:ascii="Tahoma" w:eastAsia="Times New Roman" w:hAnsi="Tahoma" w:cs="Tahoma"/>
          <w:color w:val="000000"/>
          <w:sz w:val="20"/>
          <w:szCs w:val="20"/>
        </w:rPr>
        <w:t>вны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, действующего на основании Устава, с другой стороны, заключили настоящий договор о нижеследующем: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1.  Жертвователь безвозмездно передаёт, а Учреждение принимает в собственность материальные  ценности</w:t>
      </w: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___________________________</w:t>
      </w:r>
      <w:r>
        <w:rPr>
          <w:rFonts w:ascii="Tahoma" w:eastAsia="Times New Roman" w:hAnsi="Tahoma" w:cs="Tahoma"/>
          <w:b/>
          <w:bCs/>
          <w:color w:val="000000"/>
          <w:sz w:val="20"/>
        </w:rPr>
        <w:t>_______________________________________________</w:t>
      </w: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_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________________________________________________________________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0"/>
        </w:rPr>
        <w:t>_________________</w:t>
      </w: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_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2. Цель и условия пожертвования:</w:t>
      </w:r>
      <w:r w:rsidRPr="008B08B9">
        <w:rPr>
          <w:rFonts w:ascii="Tahoma" w:eastAsia="Times New Roman" w:hAnsi="Tahoma" w:cs="Tahoma"/>
          <w:color w:val="000000"/>
          <w:sz w:val="20"/>
        </w:rPr>
        <w:t> </w:t>
      </w:r>
      <w:r w:rsidRPr="008B08B9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укрепление материальной базы МДОБУ №1</w:t>
      </w:r>
      <w:r w:rsidR="0066262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4</w:t>
      </w:r>
      <w:r w:rsidRPr="008B08B9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</w:t>
      </w:r>
      <w:r w:rsidRPr="008B08B9">
        <w:rPr>
          <w:rFonts w:ascii="Tahoma" w:eastAsia="Times New Roman" w:hAnsi="Tahoma" w:cs="Tahoma"/>
          <w:color w:val="000000"/>
          <w:sz w:val="20"/>
          <w:szCs w:val="20"/>
        </w:rPr>
        <w:t> .</w:t>
      </w:r>
    </w:p>
    <w:p w:rsidR="008B08B9" w:rsidRPr="008B08B9" w:rsidRDefault="008B08B9" w:rsidP="008B08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Учреждение принимает пожертвование, указанное в пункте 1 настоящего договора, и обязуется использовать его в соответствии с целями и условиями, указанными в пункте 2 настоящего договора.</w:t>
      </w:r>
    </w:p>
    <w:p w:rsidR="008B08B9" w:rsidRPr="008B08B9" w:rsidRDefault="008B08B9" w:rsidP="008B08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Во всем остальном, что не предусмотрено настоящим договором стороны будут руководствоваться нормами статьи 582 ГК РФ.</w:t>
      </w:r>
    </w:p>
    <w:p w:rsidR="008B08B9" w:rsidRPr="008B08B9" w:rsidRDefault="008B08B9" w:rsidP="008B08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Изменение назначения использования пожертвования возможно по соглашению с Жертвователем.</w:t>
      </w:r>
    </w:p>
    <w:p w:rsidR="008B08B9" w:rsidRPr="008B08B9" w:rsidRDefault="008B08B9" w:rsidP="008B08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Настоящий договор составлен в 2 экземплярах, имеющих равную юридическую силу, по одному экземпляру для каждой стороны.</w:t>
      </w:r>
    </w:p>
    <w:p w:rsidR="008B08B9" w:rsidRPr="008B08B9" w:rsidRDefault="008B08B9" w:rsidP="008B08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Подписи сторон:</w:t>
      </w:r>
    </w:p>
    <w:p w:rsidR="008B08B9" w:rsidRPr="008B08B9" w:rsidRDefault="008B08B9" w:rsidP="00194FE6">
      <w:pPr>
        <w:shd w:val="clear" w:color="auto" w:fill="FFFFFF" w:themeFill="background1"/>
        <w:tabs>
          <w:tab w:val="left" w:pos="62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B08B9" w:rsidRPr="008B08B9" w:rsidRDefault="008B08B9" w:rsidP="00194FE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МДОБУ № 1</w:t>
      </w:r>
      <w:r w:rsidR="006626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B08B9" w:rsidRPr="008B08B9" w:rsidRDefault="008B08B9" w:rsidP="00194FE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Жертвователь: </w:t>
      </w:r>
    </w:p>
    <w:p w:rsidR="008B08B9" w:rsidRPr="008B08B9" w:rsidRDefault="008B08B9" w:rsidP="00194FE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</w:t>
      </w:r>
      <w:proofErr w:type="spellStart"/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6262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262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662627">
        <w:rPr>
          <w:rFonts w:ascii="Times New Roman" w:eastAsia="Times New Roman" w:hAnsi="Times New Roman" w:cs="Times New Roman"/>
          <w:color w:val="000000"/>
          <w:sz w:val="24"/>
          <w:szCs w:val="24"/>
        </w:rPr>
        <w:t>есскорбная</w:t>
      </w:r>
      <w:proofErr w:type="spellEnd"/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66262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spellEnd"/>
      <w:r w:rsidR="00662627">
        <w:rPr>
          <w:rFonts w:ascii="Times New Roman" w:eastAsia="Times New Roman" w:hAnsi="Times New Roman" w:cs="Times New Roman"/>
          <w:color w:val="000000"/>
          <w:sz w:val="24"/>
          <w:szCs w:val="24"/>
        </w:rPr>
        <w:t>, 153</w:t>
      </w:r>
    </w:p>
    <w:p w:rsidR="008B08B9" w:rsidRPr="008B08B9" w:rsidRDefault="00662627" w:rsidP="00194FE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Тел. 8</w:t>
      </w:r>
      <w:r w:rsidRPr="00662627">
        <w:rPr>
          <w:rFonts w:ascii="Times New Roman" w:hAnsi="Times New Roman" w:cs="Times New Roman"/>
          <w:sz w:val="24"/>
          <w:szCs w:val="24"/>
        </w:rPr>
        <w:t>(86195)2-33-63</w:t>
      </w:r>
    </w:p>
    <w:p w:rsidR="00662627" w:rsidRDefault="008B08B9" w:rsidP="00194FE6">
      <w:pPr>
        <w:spacing w:after="0" w:line="240" w:lineRule="auto"/>
        <w:ind w:firstLine="708"/>
      </w:pPr>
      <w:r w:rsidRPr="008B08B9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662627" w:rsidRPr="00662627">
        <w:rPr>
          <w:rFonts w:ascii="Times New Roman" w:hAnsi="Times New Roman" w:cs="Times New Roman"/>
          <w:sz w:val="24"/>
          <w:szCs w:val="24"/>
        </w:rPr>
        <w:t>2343006548</w:t>
      </w:r>
    </w:p>
    <w:p w:rsidR="008B08B9" w:rsidRPr="008B08B9" w:rsidRDefault="008B08B9" w:rsidP="00194F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08B9">
        <w:rPr>
          <w:rFonts w:ascii="Times New Roman" w:eastAsia="Times New Roman" w:hAnsi="Times New Roman" w:cs="Times New Roman"/>
          <w:sz w:val="24"/>
          <w:szCs w:val="24"/>
        </w:rPr>
        <w:t>Л/С 925510240</w:t>
      </w:r>
    </w:p>
    <w:p w:rsidR="008B08B9" w:rsidRPr="008B08B9" w:rsidRDefault="008B08B9" w:rsidP="00194F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8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B08B9">
        <w:rPr>
          <w:rFonts w:ascii="Times New Roman" w:eastAsia="Times New Roman" w:hAnsi="Times New Roman" w:cs="Times New Roman"/>
          <w:sz w:val="24"/>
          <w:szCs w:val="24"/>
        </w:rPr>
        <w:t>/с 40701810900003000001</w:t>
      </w:r>
    </w:p>
    <w:p w:rsidR="008B08B9" w:rsidRPr="008B08B9" w:rsidRDefault="008B08B9" w:rsidP="00194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РКЦ Армавир г. Армавир</w:t>
      </w:r>
    </w:p>
    <w:p w:rsidR="008B08B9" w:rsidRPr="008B08B9" w:rsidRDefault="008B08B9" w:rsidP="00194FE6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</w:rPr>
      </w:pPr>
      <w:r w:rsidRPr="008B08B9">
        <w:rPr>
          <w:rFonts w:ascii="Times New Roman" w:eastAsia="Times New Roman" w:hAnsi="Times New Roman" w:cs="Times New Roman"/>
          <w:sz w:val="24"/>
          <w:szCs w:val="24"/>
        </w:rPr>
        <w:t>БИК 040306000</w:t>
      </w:r>
    </w:p>
    <w:tbl>
      <w:tblPr>
        <w:tblW w:w="0" w:type="auto"/>
        <w:tblCellSpacing w:w="0" w:type="dxa"/>
        <w:shd w:val="clear" w:color="auto" w:fill="5BC9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36"/>
      </w:tblGrid>
      <w:tr w:rsidR="008B08B9" w:rsidRPr="008B08B9" w:rsidTr="00662627">
        <w:trPr>
          <w:trHeight w:val="620"/>
          <w:tblCellSpacing w:w="0" w:type="dxa"/>
        </w:trPr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8B08B9" w:rsidRPr="008B08B9" w:rsidRDefault="008B08B9" w:rsidP="00194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  <w:hideMark/>
          </w:tcPr>
          <w:p w:rsidR="008B08B9" w:rsidRPr="008B08B9" w:rsidRDefault="008B08B9" w:rsidP="006626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0941EE" w:rsidRDefault="000941EE" w:rsidP="00662627">
      <w:pPr>
        <w:shd w:val="clear" w:color="auto" w:fill="FFFFFF" w:themeFill="background1"/>
        <w:spacing w:before="100" w:beforeAutospacing="1" w:after="0" w:line="240" w:lineRule="auto"/>
        <w:ind w:left="6372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lastRenderedPageBreak/>
        <w:t xml:space="preserve">УТВЕРЖДАЮ: </w:t>
      </w:r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Заведующий МДОБУ № 19 «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Улыбка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»</w:t>
      </w:r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                                                                                            ____________________</w:t>
      </w:r>
      <w:proofErr w:type="spellStart"/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Н.И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.</w:t>
      </w:r>
      <w:r w:rsidR="006626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Гарник</w:t>
      </w:r>
      <w:proofErr w:type="spellEnd"/>
    </w:p>
    <w:p w:rsidR="000941EE" w:rsidRDefault="000941EE" w:rsidP="000941EE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                                                                «01» сентября 2015г.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Приложение 2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к Положению о порядке учета и расходования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 добровольных целевых взносов и пожертвований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i/>
          <w:iCs/>
          <w:color w:val="000000"/>
          <w:sz w:val="20"/>
        </w:rPr>
        <w:t>физических и (или) юридических лиц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Заведующему МДОБУ  № 1</w:t>
      </w:r>
      <w:r w:rsidR="00662627">
        <w:rPr>
          <w:rFonts w:ascii="Tahoma" w:eastAsia="Times New Roman" w:hAnsi="Tahoma" w:cs="Tahoma"/>
          <w:color w:val="000000"/>
          <w:sz w:val="20"/>
          <w:szCs w:val="20"/>
        </w:rPr>
        <w:t>4</w:t>
      </w:r>
    </w:p>
    <w:p w:rsidR="008B08B9" w:rsidRPr="008B08B9" w:rsidRDefault="00662627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Гарник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Н.И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________________________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________________________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Ф.И.О.  физического лица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8B08B9">
        <w:rPr>
          <w:rFonts w:ascii="Tahoma" w:eastAsia="Times New Roman" w:hAnsi="Tahoma" w:cs="Tahoma"/>
          <w:color w:val="000000"/>
          <w:sz w:val="20"/>
          <w:szCs w:val="20"/>
        </w:rPr>
        <w:t>проживающего</w:t>
      </w:r>
      <w:proofErr w:type="gramEnd"/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по адресу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__________________________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__________________________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b/>
          <w:bCs/>
          <w:color w:val="000000"/>
          <w:sz w:val="20"/>
        </w:rPr>
        <w:t>ЗАЯВЛЕНИЕ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Я, _______________________________________________________________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(Ф.И.О. физического лица)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по собственному желанию передаю МДОБУ № </w:t>
      </w:r>
      <w:r w:rsidR="00662627">
        <w:rPr>
          <w:rFonts w:ascii="Tahoma" w:eastAsia="Times New Roman" w:hAnsi="Tahoma" w:cs="Tahoma"/>
          <w:color w:val="000000"/>
          <w:sz w:val="20"/>
          <w:szCs w:val="20"/>
        </w:rPr>
        <w:t>14</w:t>
      </w:r>
      <w:bookmarkStart w:id="0" w:name="_GoBack"/>
      <w:bookmarkEnd w:id="0"/>
      <w:r w:rsidRPr="008B08B9">
        <w:rPr>
          <w:rFonts w:ascii="Tahoma" w:eastAsia="Times New Roman" w:hAnsi="Tahoma" w:cs="Tahoma"/>
          <w:color w:val="000000"/>
          <w:sz w:val="20"/>
          <w:szCs w:val="20"/>
        </w:rPr>
        <w:t xml:space="preserve"> в качестве добровольного целевого взноса денежные средства в сумме ____________________________________________ на ______________________________________________________________ (например: развитие материальной базы  детского сада).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08B9" w:rsidRPr="008B08B9" w:rsidRDefault="008B08B9" w:rsidP="008B08B9">
      <w:pPr>
        <w:shd w:val="clear" w:color="auto" w:fill="FFFFFF" w:themeFill="background1"/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sz w:val="20"/>
          <w:szCs w:val="20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«_____»___________20__г.                                   _____________________</w:t>
      </w:r>
    </w:p>
    <w:p w:rsidR="00100EC2" w:rsidRPr="008B08B9" w:rsidRDefault="008B08B9" w:rsidP="000941EE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B08B9">
        <w:rPr>
          <w:rFonts w:ascii="Tahoma" w:eastAsia="Times New Roman" w:hAnsi="Tahoma" w:cs="Tahoma"/>
          <w:color w:val="000000"/>
          <w:sz w:val="20"/>
          <w:szCs w:val="20"/>
        </w:rPr>
        <w:t>                                                                                  ( подпись)</w:t>
      </w:r>
    </w:p>
    <w:sectPr w:rsidR="00100EC2" w:rsidRPr="008B08B9" w:rsidSect="008B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E0" w:rsidRDefault="008D67E0" w:rsidP="008B08B9">
      <w:pPr>
        <w:spacing w:after="0" w:line="240" w:lineRule="auto"/>
      </w:pPr>
      <w:r>
        <w:separator/>
      </w:r>
    </w:p>
  </w:endnote>
  <w:endnote w:type="continuationSeparator" w:id="0">
    <w:p w:rsidR="008D67E0" w:rsidRDefault="008D67E0" w:rsidP="008B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E0" w:rsidRDefault="008D67E0" w:rsidP="008B08B9">
      <w:pPr>
        <w:spacing w:after="0" w:line="240" w:lineRule="auto"/>
      </w:pPr>
      <w:r>
        <w:separator/>
      </w:r>
    </w:p>
  </w:footnote>
  <w:footnote w:type="continuationSeparator" w:id="0">
    <w:p w:rsidR="008D67E0" w:rsidRDefault="008D67E0" w:rsidP="008B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46D"/>
    <w:multiLevelType w:val="multilevel"/>
    <w:tmpl w:val="7F24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9"/>
    <w:rsid w:val="000941EE"/>
    <w:rsid w:val="00100EC2"/>
    <w:rsid w:val="00194B38"/>
    <w:rsid w:val="00194FE6"/>
    <w:rsid w:val="00662627"/>
    <w:rsid w:val="008B08B9"/>
    <w:rsid w:val="008D67E0"/>
    <w:rsid w:val="009A6291"/>
    <w:rsid w:val="009E0576"/>
    <w:rsid w:val="00C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8B9"/>
    <w:rPr>
      <w:b/>
      <w:bCs/>
    </w:rPr>
  </w:style>
  <w:style w:type="character" w:styleId="a5">
    <w:name w:val="Emphasis"/>
    <w:basedOn w:val="a0"/>
    <w:uiPriority w:val="20"/>
    <w:qFormat/>
    <w:rsid w:val="008B08B9"/>
    <w:rPr>
      <w:i/>
      <w:iCs/>
    </w:rPr>
  </w:style>
  <w:style w:type="character" w:customStyle="1" w:styleId="apple-converted-space">
    <w:name w:val="apple-converted-space"/>
    <w:basedOn w:val="a0"/>
    <w:rsid w:val="008B08B9"/>
  </w:style>
  <w:style w:type="paragraph" w:styleId="a6">
    <w:name w:val="header"/>
    <w:basedOn w:val="a"/>
    <w:link w:val="a7"/>
    <w:uiPriority w:val="99"/>
    <w:semiHidden/>
    <w:unhideWhenUsed/>
    <w:rsid w:val="008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8B9"/>
  </w:style>
  <w:style w:type="paragraph" w:styleId="a8">
    <w:name w:val="footer"/>
    <w:basedOn w:val="a"/>
    <w:link w:val="a9"/>
    <w:uiPriority w:val="99"/>
    <w:semiHidden/>
    <w:unhideWhenUsed/>
    <w:rsid w:val="008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8B9"/>
    <w:rPr>
      <w:b/>
      <w:bCs/>
    </w:rPr>
  </w:style>
  <w:style w:type="character" w:styleId="a5">
    <w:name w:val="Emphasis"/>
    <w:basedOn w:val="a0"/>
    <w:uiPriority w:val="20"/>
    <w:qFormat/>
    <w:rsid w:val="008B08B9"/>
    <w:rPr>
      <w:i/>
      <w:iCs/>
    </w:rPr>
  </w:style>
  <w:style w:type="character" w:customStyle="1" w:styleId="apple-converted-space">
    <w:name w:val="apple-converted-space"/>
    <w:basedOn w:val="a0"/>
    <w:rsid w:val="008B08B9"/>
  </w:style>
  <w:style w:type="paragraph" w:styleId="a6">
    <w:name w:val="header"/>
    <w:basedOn w:val="a"/>
    <w:link w:val="a7"/>
    <w:uiPriority w:val="99"/>
    <w:semiHidden/>
    <w:unhideWhenUsed/>
    <w:rsid w:val="008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8B9"/>
  </w:style>
  <w:style w:type="paragraph" w:styleId="a8">
    <w:name w:val="footer"/>
    <w:basedOn w:val="a"/>
    <w:link w:val="a9"/>
    <w:uiPriority w:val="99"/>
    <w:semiHidden/>
    <w:unhideWhenUsed/>
    <w:rsid w:val="008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Lady</cp:lastModifiedBy>
  <cp:revision>2</cp:revision>
  <dcterms:created xsi:type="dcterms:W3CDTF">2019-01-25T05:24:00Z</dcterms:created>
  <dcterms:modified xsi:type="dcterms:W3CDTF">2019-01-25T05:24:00Z</dcterms:modified>
</cp:coreProperties>
</file>